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3" Type="http://schemas.openxmlformats.org/officeDocument/2006/relationships/officeDocument" Target="word/document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taisx="http://lrs.lt/TAIS/DocPartXmlMark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background w:color="FFFFFF"/>
  <w:body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Suvestinė redakcija nuo 2021-01-01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  <w:i/>
        </w:rPr>
        <w:t xml:space="preserve">Įsakymas paskelbtas: TAR 2020-04-20, i. k. 2020-08185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rPr>
          <w:sz w:val="20"/>
        </w:rPr>
      </w:pPr>
    </w:p>
    <w:p>
      <w:pPr>
        <w:keepNext/>
        <w:suppressAutoHyphens/>
        <w:jc w:val="center"/>
        <w:outlineLvl w:val="1"/>
        <w:rPr>
          <w:rFonts w:ascii="Arial" w:hAnsi="Arial" w:cs="Arial"/>
          <w:b/>
          <w:bCs/>
          <w:i/>
          <w:iCs/>
          <w:sz w:val="22"/>
          <w:szCs w:val="28"/>
          <w:lang w:val="en-GB" w:eastAsia="ar-SA"/>
        </w:rPr>
      </w:pPr>
      <w:r>
        <w:rPr>
          <w:rFonts w:ascii="Arial" w:hAnsi="Arial" w:cs="Arial"/>
          <w:b/>
          <w:bCs/>
          <w:i/>
          <w:iCs/>
          <w:sz w:val="28"/>
          <w:szCs w:val="28"/>
          <w:lang w:eastAsia="ko-KR"/>
        </w:rPr>
        <w:drawing>
          <wp:inline distT="0" distB="0" distL="0" distR="0">
            <wp:extent cx="552450" cy="66675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6"/>
          <w:szCs w:val="6"/>
        </w:rPr>
      </w:pPr>
    </w:p>
    <w:p>
      <w:pPr>
        <w:suppressAutoHyphens/>
        <w:jc w:val="center"/>
        <w:rPr>
          <w:b/>
          <w:szCs w:val="24"/>
          <w:lang w:eastAsia="ar-SA"/>
        </w:rPr>
      </w:pPr>
    </w:p>
    <w:p>
      <w:pPr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ŠIAULIŲ MIESTO SAVIVALDYBĖS ADMINISTRACIJOS</w:t>
      </w:r>
    </w:p>
    <w:p>
      <w:pPr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DIREKTORIUS</w:t>
      </w:r>
    </w:p>
    <w:p>
      <w:pPr>
        <w:suppressAutoHyphens/>
        <w:rPr>
          <w:szCs w:val="24"/>
          <w:lang w:eastAsia="ar-SA"/>
        </w:rPr>
      </w:pPr>
    </w:p>
    <w:p>
      <w:pPr>
        <w:keepNext/>
        <w:suppressAutoHyphens/>
        <w:jc w:val="center"/>
        <w:outlineLvl w:val="2"/>
        <w:rPr>
          <w:b/>
          <w:bCs/>
          <w:lang w:eastAsia="ar-SA"/>
        </w:rPr>
      </w:pPr>
      <w:r>
        <w:rPr>
          <w:b/>
          <w:bCs/>
          <w:lang w:eastAsia="ar-SA"/>
        </w:rPr>
        <w:t>ĮSAKYMAS</w:t>
      </w:r>
    </w:p>
    <w:p>
      <w:pPr>
        <w:suppressAutoHyphens/>
        <w:ind w:firstLine="720"/>
        <w:jc w:val="center"/>
        <w:rPr>
          <w:b/>
          <w:bCs/>
          <w:strike/>
          <w:szCs w:val="24"/>
          <w:lang w:eastAsia="ar-SA"/>
        </w:rPr>
      </w:pPr>
      <w:r>
        <w:rPr>
          <w:b/>
          <w:bCs/>
          <w:szCs w:val="24"/>
          <w:lang w:eastAsia="ar-SA"/>
        </w:rPr>
        <w:t xml:space="preserve">DĖL </w:t>
      </w:r>
      <w:r>
        <w:rPr>
          <w:b/>
          <w:szCs w:val="24"/>
          <w:lang w:eastAsia="ar-SA"/>
        </w:rPr>
        <w:t>ATLYGINIMO</w:t>
      </w:r>
      <w:r>
        <w:rPr>
          <w:b/>
          <w:bCs/>
          <w:szCs w:val="24"/>
          <w:lang w:eastAsia="ar-SA"/>
        </w:rPr>
        <w:t xml:space="preserve"> UŽ ŠIAULIŲ MIESTO SAVIVALDYBĖS ŠVIETIMO IR SPORTO ĮSTAIGOSE TEIKIAMAS UGDYMO PASLAUGAS </w:t>
      </w:r>
      <w:r>
        <w:rPr>
          <w:b/>
          <w:szCs w:val="24"/>
          <w:lang w:eastAsia="ar-SA"/>
        </w:rPr>
        <w:t>MOKĖJIMO TVARKOS APRAŠO PATVIRTINIMO</w:t>
      </w:r>
      <w:r>
        <w:rPr>
          <w:szCs w:val="24"/>
          <w:lang w:eastAsia="ar-SA"/>
        </w:rPr>
        <w:t xml:space="preserve"> </w:t>
      </w:r>
    </w:p>
    <w:p>
      <w:pPr>
        <w:suppressAutoHyphens/>
        <w:rPr>
          <w:szCs w:val="24"/>
          <w:lang w:eastAsia="ar-SA"/>
        </w:rPr>
      </w:pPr>
    </w:p>
    <w:p>
      <w:pPr>
        <w:suppressAutoHyphens/>
        <w:jc w:val="center"/>
        <w:rPr>
          <w:szCs w:val="24"/>
          <w:lang w:eastAsia="ar-SA"/>
        </w:rPr>
      </w:pPr>
      <w:r>
        <w:rPr>
          <w:szCs w:val="24"/>
          <w:lang w:eastAsia="ar-SA"/>
        </w:rPr>
        <w:t>2020 m. balandžio 17 d. Nr. A-503</w:t>
      </w:r>
    </w:p>
    <w:p>
      <w:pPr>
        <w:suppressAutoHyphens/>
        <w:jc w:val="center"/>
        <w:rPr>
          <w:szCs w:val="24"/>
          <w:lang w:eastAsia="ar-SA"/>
        </w:rPr>
      </w:pPr>
      <w:r>
        <w:rPr>
          <w:szCs w:val="24"/>
          <w:lang w:eastAsia="ar-SA"/>
        </w:rPr>
        <w:t>Šiauliai</w:t>
      </w:r>
    </w:p>
    <w:p>
      <w:pPr>
        <w:suppressAutoHyphens/>
        <w:jc w:val="center"/>
        <w:rPr>
          <w:szCs w:val="24"/>
          <w:highlight w:val="yellow"/>
          <w:lang w:eastAsia="ar-SA"/>
        </w:rPr>
      </w:pPr>
    </w:p>
    <w:p>
      <w:pPr>
        <w:suppressAutoHyphens/>
        <w:jc w:val="center"/>
        <w:rPr>
          <w:szCs w:val="24"/>
          <w:highlight w:val="yellow"/>
          <w:lang w:eastAsia="ar-SA"/>
        </w:rPr>
      </w:pP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szCs w:val="24"/>
          <w:lang w:eastAsia="ar-SA"/>
        </w:rPr>
        <w:t>Vadovaudamasis Lietuvos Respublikos vietos savivaldos įstatymo 6 straipsnio 8 punktu,</w:t>
      </w:r>
      <w:r>
        <w:rPr>
          <w:color w:val="FF0000"/>
          <w:szCs w:val="24"/>
          <w:lang w:eastAsia="ar-SA"/>
        </w:rPr>
        <w:t xml:space="preserve"> </w:t>
      </w:r>
      <w:r>
        <w:rPr>
          <w:color w:val="000000"/>
          <w:szCs w:val="24"/>
          <w:lang w:eastAsia="ar-SA"/>
        </w:rPr>
        <w:t xml:space="preserve">18 straipsnio 1 dalimi, </w:t>
      </w:r>
      <w:r>
        <w:rPr>
          <w:szCs w:val="24"/>
          <w:lang w:eastAsia="ar-SA"/>
        </w:rPr>
        <w:t>29 straipsnio 8 dalies 2 punktu ir įgyvendindamas Šiaulių miesto savivaldybės tarybos 2019 m. gruodžio 12 d. sprendimą Nr. T-463 „</w:t>
      </w:r>
      <w:r>
        <w:rPr>
          <w:szCs w:val="24"/>
          <w:lang w:eastAsia="zh-CN" w:bidi="lt-LT"/>
        </w:rPr>
        <w:t>Dėl</w:t>
      </w:r>
      <w:r>
        <w:rPr>
          <w:szCs w:val="24"/>
          <w:lang w:eastAsia="zh-CN"/>
        </w:rPr>
        <w:t xml:space="preserve"> Šiaulių miesto savivaldybės tarybos 2019 m. liepos 4 d. sprendimo Nr. T-302 „</w:t>
      </w:r>
      <w:r>
        <w:rPr>
          <w:color w:val="000000"/>
          <w:szCs w:val="24"/>
          <w:lang w:eastAsia="zh-CN"/>
        </w:rPr>
        <w:t>Dėl atlyginimo už Šiaulių miesto savivaldybės švietimo ir sporto įstaigose teikiamas ugdymo paslaugas dydžio nustatymo“ pakeitimo“</w:t>
      </w:r>
      <w:r>
        <w:rPr>
          <w:bCs/>
          <w:szCs w:val="24"/>
          <w:lang w:eastAsia="ar-SA"/>
        </w:rPr>
        <w:t>:</w:t>
      </w: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1</w:t>
      </w:r>
      <w:r>
        <w:rPr>
          <w:bCs/>
          <w:szCs w:val="24"/>
          <w:lang w:eastAsia="ar-SA"/>
        </w:rPr>
        <w:t xml:space="preserve">. </w:t>
      </w:r>
      <w:r>
        <w:rPr>
          <w:bCs/>
          <w:spacing w:val="40"/>
          <w:szCs w:val="24"/>
          <w:lang w:eastAsia="ar-SA"/>
        </w:rPr>
        <w:t xml:space="preserve">Tvirtinu </w:t>
      </w:r>
      <w:r>
        <w:rPr>
          <w:szCs w:val="24"/>
          <w:lang w:eastAsia="ar-SA"/>
        </w:rPr>
        <w:t xml:space="preserve">Atlyginimo </w:t>
      </w:r>
      <w:r>
        <w:rPr>
          <w:bCs/>
          <w:szCs w:val="24"/>
          <w:lang w:eastAsia="ar-SA"/>
        </w:rPr>
        <w:t xml:space="preserve">už Šiaulių miesto savivaldybės švietimo ir sporto įstaigose teikiamas ugdymo paslaugas mokėjimo tvarkos aprašą (pridedama). </w:t>
      </w: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</w:t>
      </w:r>
      <w:r>
        <w:rPr>
          <w:bCs/>
          <w:szCs w:val="24"/>
          <w:lang w:eastAsia="ar-SA"/>
        </w:rPr>
        <w:t xml:space="preserve">. </w:t>
      </w:r>
      <w:r>
        <w:rPr>
          <w:bCs/>
          <w:spacing w:val="40"/>
          <w:szCs w:val="24"/>
          <w:lang w:eastAsia="ar-SA"/>
        </w:rPr>
        <w:t xml:space="preserve">Pripažįstu </w:t>
      </w:r>
      <w:r>
        <w:rPr>
          <w:bCs/>
          <w:szCs w:val="24"/>
          <w:lang w:eastAsia="ar-SA"/>
        </w:rPr>
        <w:t>netekusiais galios:</w:t>
      </w: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2.1</w:t>
      </w:r>
      <w:r>
        <w:rPr>
          <w:bCs/>
          <w:szCs w:val="24"/>
          <w:lang w:eastAsia="ar-SA"/>
        </w:rPr>
        <w:t xml:space="preserve">. Šiaulių miesto savivaldybės administracijos direktoriaus 2019 m. liepos 25 d. įsakymą Nr. A-1083 „Dėl </w:t>
      </w:r>
      <w:r>
        <w:rPr>
          <w:szCs w:val="24"/>
          <w:lang w:eastAsia="ar-SA"/>
        </w:rPr>
        <w:t xml:space="preserve">Atlyginimo </w:t>
      </w:r>
      <w:r>
        <w:rPr>
          <w:bCs/>
          <w:szCs w:val="24"/>
          <w:lang w:eastAsia="ar-SA"/>
        </w:rPr>
        <w:t>už Šiaulių miesto savivaldybės švietimo ir sporto įstaigose teikiamas ugdymo paslaugas mokėjimo tvarkos aprašo patvirtinimo“;</w:t>
      </w:r>
    </w:p>
    <w:p>
      <w:pPr>
        <w:suppressAutoHyphens/>
        <w:ind w:firstLine="720"/>
        <w:jc w:val="both"/>
        <w:rPr>
          <w:b/>
          <w:color w:val="000000"/>
          <w:szCs w:val="24"/>
          <w:lang w:eastAsia="zh-CN"/>
        </w:rPr>
      </w:pPr>
      <w:r>
        <w:rPr>
          <w:bCs/>
          <w:szCs w:val="24"/>
          <w:lang w:eastAsia="ar-SA"/>
        </w:rPr>
        <w:t>2.2</w:t>
      </w:r>
      <w:r>
        <w:rPr>
          <w:bCs/>
          <w:szCs w:val="24"/>
          <w:lang w:eastAsia="ar-SA"/>
        </w:rPr>
        <w:t xml:space="preserve">. Šiaulių miesto savivaldybės administracijos direktoriaus 2020 m. sausio 7 d. įsakymą Nr. A-17 „Dėl </w:t>
      </w:r>
      <w:r>
        <w:rPr>
          <w:szCs w:val="24"/>
          <w:lang w:eastAsia="ar-SA"/>
        </w:rPr>
        <w:t xml:space="preserve">Atlyginimo </w:t>
      </w:r>
      <w:r>
        <w:rPr>
          <w:bCs/>
          <w:szCs w:val="24"/>
          <w:lang w:eastAsia="ar-SA"/>
        </w:rPr>
        <w:t>už Šiaulių miesto savivaldybės švietimo ir sporto įstaigose teikiamas ugdymo paslaugas mokėjimo tvarkos aprašo patvirtinimo“.</w:t>
      </w:r>
    </w:p>
    <w:p>
      <w:pPr>
        <w:suppressAutoHyphens/>
        <w:jc w:val="both"/>
      </w:pPr>
    </w:p>
    <w:p>
      <w:pPr>
        <w:suppressAutoHyphens/>
        <w:jc w:val="both"/>
      </w:pPr>
    </w:p>
    <w:p>
      <w:pPr>
        <w:suppressAutoHyphens/>
        <w:jc w:val="both"/>
      </w:pPr>
    </w:p>
    <w:p>
      <w:pPr>
        <w:suppressAutoHyphens/>
        <w:jc w:val="both"/>
        <w:rPr>
          <w:szCs w:val="24"/>
          <w:lang w:eastAsia="ar-SA"/>
        </w:rPr>
      </w:pPr>
      <w:r>
        <w:rPr>
          <w:szCs w:val="24"/>
          <w:lang w:eastAsia="ar-SA"/>
        </w:rPr>
        <w:t>Direktorius</w:t>
        <w:tab/>
        <w:tab/>
        <w:t xml:space="preserve">                                </w:t>
        <w:tab/>
        <w:tab/>
        <w:tab/>
        <w:t xml:space="preserve">  Antanas Bartulis</w:t>
      </w:r>
    </w:p>
    <w:p>
      <w:pPr>
        <w:suppressAutoHyphens/>
        <w:ind w:left="5182"/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701" w:header="709" w:footer="720" w:gutter="0"/>
          <w:cols w:space="1296"/>
          <w:titlePg/>
          <w:docGrid w:linePitch="360"/>
        </w:sectPr>
      </w:pPr>
    </w:p>
    <w:p>
      <w:pPr>
        <w:suppressAutoHyphens/>
        <w:ind w:left="5182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PATVIRTINTA</w:t>
      </w:r>
    </w:p>
    <w:p>
      <w:pPr>
        <w:suppressAutoHyphens/>
        <w:ind w:left="5184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Šiaulių miesto savivaldybės</w:t>
      </w:r>
    </w:p>
    <w:p>
      <w:pPr>
        <w:suppressAutoHyphens/>
        <w:ind w:left="5184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administracijos direktoriaus</w:t>
      </w:r>
    </w:p>
    <w:p>
      <w:pPr>
        <w:suppressAutoHyphens/>
        <w:ind w:left="5184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2020 m. balandžio 17 d. įsakymu Nr. A-503</w:t>
      </w:r>
    </w:p>
    <w:p>
      <w:pPr>
        <w:suppressAutoHyphens/>
        <w:rPr>
          <w:b/>
          <w:bCs/>
          <w:szCs w:val="24"/>
          <w:lang w:eastAsia="ar-SA"/>
        </w:rPr>
      </w:pPr>
    </w:p>
    <w:p>
      <w:pPr>
        <w:suppressAutoHyphens/>
        <w:jc w:val="center"/>
        <w:rPr>
          <w:b/>
          <w:bCs/>
          <w:szCs w:val="24"/>
          <w:lang w:eastAsia="ar-SA"/>
        </w:rPr>
      </w:pPr>
      <w:r>
        <w:rPr>
          <w:b/>
          <w:bCs/>
          <w:szCs w:val="24"/>
          <w:lang w:eastAsia="ar-SA"/>
        </w:rPr>
        <w:t xml:space="preserve">ATLYGINIMO UŽ </w:t>
      </w:r>
      <w:r>
        <w:rPr>
          <w:b/>
          <w:szCs w:val="24"/>
          <w:lang w:eastAsia="ar-SA"/>
        </w:rPr>
        <w:t xml:space="preserve">ŠIAULIŲ MIESTO SAVIVALDYBĖS ŠVIETIMO IR SPORTO ĮSTAIGOSE TEIKIAMAS UGDYMO PASLAUGAS </w:t>
      </w:r>
      <w:r>
        <w:rPr>
          <w:b/>
          <w:bCs/>
          <w:szCs w:val="24"/>
          <w:lang w:eastAsia="ar-SA"/>
        </w:rPr>
        <w:t xml:space="preserve">MOKĖJIMO TVARKOS APRAŠAS </w:t>
      </w:r>
    </w:p>
    <w:p>
      <w:pPr>
        <w:suppressAutoHyphens/>
        <w:jc w:val="center"/>
        <w:rPr>
          <w:bCs/>
          <w:szCs w:val="24"/>
          <w:lang w:eastAsia="ar-SA"/>
        </w:rPr>
      </w:pPr>
    </w:p>
    <w:p>
      <w:pPr>
        <w:suppressAutoHyphens/>
        <w:jc w:val="center"/>
        <w:rPr>
          <w:b/>
          <w:bCs/>
          <w:szCs w:val="24"/>
          <w:lang w:eastAsia="ar-SA"/>
        </w:rPr>
      </w:pPr>
      <w:r>
        <w:rPr>
          <w:b/>
          <w:bCs/>
          <w:szCs w:val="24"/>
          <w:lang w:eastAsia="ar-SA"/>
        </w:rPr>
        <w:t>I</w:t>
      </w:r>
      <w:r>
        <w:rPr>
          <w:b/>
          <w:bCs/>
          <w:szCs w:val="24"/>
          <w:lang w:eastAsia="ar-SA"/>
        </w:rPr>
        <w:t xml:space="preserve">. </w:t>
      </w:r>
      <w:r>
        <w:rPr>
          <w:b/>
          <w:bCs/>
          <w:szCs w:val="24"/>
          <w:lang w:eastAsia="ar-SA"/>
        </w:rPr>
        <w:t>BENDROSIOS NUOSTATOS</w:t>
      </w:r>
    </w:p>
    <w:p>
      <w:pPr>
        <w:suppressAutoHyphens/>
        <w:jc w:val="center"/>
        <w:rPr>
          <w:szCs w:val="24"/>
          <w:lang w:eastAsia="ar-SA"/>
        </w:rPr>
      </w:pP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1</w:t>
      </w:r>
      <w:r>
        <w:rPr>
          <w:szCs w:val="24"/>
          <w:lang w:eastAsia="ar-SA"/>
        </w:rPr>
        <w:t>. Atlyginimo už Šiaulių miesto savivaldybės švietimo ir sporto įstaigose teikiamas ugdymo paslaugas mokėjimo tvarkos aprašas (toliau – Aprašas) reglamentuoja atlyginimo už Šiaulių miesto savivaldybės švietimo ir sporto įstaigose teikiamas ugdymo paslaugas (toliau – Atlyginimas) atlyginimo mokėjimo tvarką ir terminus, atlyginimo lengvatų taikymo, atlyginimo užskaitymo arba grąžinimo Šiaulių miesto savivaldybės švietimo ir sporto įstaigose (toliau – Įstaigose) tvarką.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</w:t>
      </w:r>
      <w:r>
        <w:rPr>
          <w:szCs w:val="24"/>
          <w:lang w:eastAsia="ar-SA"/>
        </w:rPr>
        <w:t xml:space="preserve">. Atlyginimo dydį nustato Šiaulių miesto savivaldybės taryba. </w:t>
      </w:r>
    </w:p>
    <w:p>
      <w:pPr>
        <w:suppressAutoHyphens/>
        <w:jc w:val="both"/>
        <w:rPr>
          <w:szCs w:val="24"/>
          <w:lang w:eastAsia="ar-SA"/>
        </w:rPr>
      </w:pPr>
    </w:p>
    <w:p>
      <w:pPr>
        <w:suppressAutoHyphens/>
        <w:jc w:val="center"/>
        <w:rPr>
          <w:b/>
          <w:bCs/>
          <w:szCs w:val="24"/>
          <w:lang w:eastAsia="ar-SA"/>
        </w:rPr>
      </w:pPr>
      <w:r>
        <w:rPr>
          <w:b/>
          <w:bCs/>
          <w:szCs w:val="24"/>
          <w:lang w:eastAsia="ar-SA"/>
        </w:rPr>
        <w:t>II</w:t>
      </w:r>
      <w:r>
        <w:rPr>
          <w:b/>
          <w:bCs/>
          <w:szCs w:val="24"/>
          <w:lang w:eastAsia="ar-SA"/>
        </w:rPr>
        <w:t xml:space="preserve">. </w:t>
      </w:r>
      <w:r>
        <w:rPr>
          <w:b/>
          <w:bCs/>
          <w:szCs w:val="24"/>
          <w:lang w:eastAsia="ar-SA"/>
        </w:rPr>
        <w:t>ATLYGINIMO MOKĖJIMO TVARKA IR TERMINAI</w:t>
      </w:r>
    </w:p>
    <w:p>
      <w:pPr>
        <w:suppressAutoHyphens/>
        <w:jc w:val="center"/>
        <w:rPr>
          <w:szCs w:val="24"/>
          <w:lang w:eastAsia="ar-SA"/>
        </w:rPr>
      </w:pP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3</w:t>
      </w:r>
      <w:r>
        <w:rPr>
          <w:szCs w:val="24"/>
          <w:lang w:eastAsia="ar-SA"/>
        </w:rPr>
        <w:t xml:space="preserve">. Atlyginimas skaičiuojamas už praėjusį mėnesį. Baigiantis finansiniams ir mokslo metams gruodžio ir gegužės mėn. atlyginimas skaičiuojamas už praėjusį ir einamąjį mėnesį. 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4</w:t>
      </w:r>
      <w:r>
        <w:rPr>
          <w:szCs w:val="24"/>
          <w:lang w:eastAsia="ar-SA"/>
        </w:rPr>
        <w:t>. Atlyginimas mokamas kiekvieną mėnesį ir turi būti sumokėtas iki kito mėnesio 15 dienos.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5</w:t>
      </w:r>
      <w:r>
        <w:rPr>
          <w:szCs w:val="24"/>
          <w:lang w:eastAsia="ar-SA"/>
        </w:rPr>
        <w:t xml:space="preserve">. Mokiniui, sportininkui ar jų tėvams </w:t>
      </w:r>
      <w:r>
        <w:rPr>
          <w:bCs/>
          <w:szCs w:val="24"/>
          <w:lang w:eastAsia="ar-SA"/>
        </w:rPr>
        <w:t>(globėjams, rūpintojams)</w:t>
      </w:r>
      <w:r>
        <w:rPr>
          <w:szCs w:val="24"/>
          <w:lang w:eastAsia="ar-SA"/>
        </w:rPr>
        <w:t xml:space="preserve"> pageidaujant, atlyginimas gali būti mokamas kas ketvirtį arba kas pusmetį:</w:t>
      </w:r>
    </w:p>
    <w:p>
      <w:pPr>
        <w:tabs>
          <w:tab w:val="left" w:pos="1014"/>
        </w:tabs>
        <w:ind w:firstLine="720"/>
        <w:jc w:val="both"/>
        <w:rPr>
          <w:bCs/>
        </w:rPr>
      </w:pPr>
      <w:r>
        <w:rPr>
          <w:bCs/>
        </w:rPr>
        <w:t>5.1</w:t>
      </w:r>
      <w:r>
        <w:rPr>
          <w:bCs/>
        </w:rPr>
        <w:t xml:space="preserve">. už I mokslo metų pusmetį įmoka turi būti </w:t>
      </w:r>
      <w:r>
        <w:t>sumokėta iki einamųjų metų</w:t>
      </w:r>
      <w:r>
        <w:rPr>
          <w:bCs/>
        </w:rPr>
        <w:t xml:space="preserve"> spalio 31 d.;</w:t>
      </w:r>
    </w:p>
    <w:p>
      <w:pPr>
        <w:tabs>
          <w:tab w:val="left" w:pos="1014"/>
        </w:tabs>
        <w:ind w:firstLine="720"/>
        <w:jc w:val="both"/>
        <w:rPr>
          <w:bCs/>
        </w:rPr>
      </w:pPr>
      <w:r>
        <w:t>5.2</w:t>
      </w:r>
      <w:r>
        <w:t>. už II mokslo metų pusmetį įmoka turi būti sumokėta iki einamųjų metų</w:t>
      </w:r>
      <w:r>
        <w:rPr>
          <w:bCs/>
        </w:rPr>
        <w:t xml:space="preserve"> kovo 31 d.; </w:t>
      </w:r>
    </w:p>
    <w:p>
      <w:pPr>
        <w:tabs>
          <w:tab w:val="left" w:pos="1014"/>
        </w:tabs>
        <w:ind w:firstLine="720"/>
        <w:jc w:val="both"/>
      </w:pPr>
      <w:r>
        <w:t>5.3</w:t>
      </w:r>
      <w:r>
        <w:t xml:space="preserve">. už ketvirtį įmoka turi būti sumokėta iki einamojo ketvirčio paskutinio mėnesio paskutinės dienos. </w:t>
      </w:r>
    </w:p>
    <w:p>
      <w:pPr>
        <w:tabs>
          <w:tab w:val="left" w:pos="1014"/>
        </w:tabs>
        <w:ind w:firstLine="720"/>
        <w:jc w:val="both"/>
      </w:pPr>
      <w:r>
        <w:t>6</w:t>
      </w:r>
      <w:r>
        <w:t xml:space="preserve">. Jei </w:t>
      </w:r>
      <w:r>
        <w:rPr>
          <w:bCs/>
        </w:rPr>
        <w:t xml:space="preserve">atlyginimas </w:t>
      </w:r>
      <w:r>
        <w:t>nemokamas daugiau kaip vieną mėnesį nuo nustatytos datos, Įstaigos vadovas, informavęs m</w:t>
      </w:r>
      <w:r>
        <w:rPr>
          <w:bCs/>
        </w:rPr>
        <w:t xml:space="preserve">okinį ar sportininką </w:t>
      </w:r>
      <w:r>
        <w:t>ir jo tėvus (globėjus, rūpintojus), gali išbraukti m</w:t>
      </w:r>
      <w:r>
        <w:rPr>
          <w:bCs/>
        </w:rPr>
        <w:t xml:space="preserve">okinį ar sportininką </w:t>
      </w:r>
      <w:r>
        <w:t>iš sąrašų.</w:t>
      </w:r>
    </w:p>
    <w:p>
      <w:pPr>
        <w:tabs>
          <w:tab w:val="left" w:pos="1014"/>
        </w:tabs>
        <w:ind w:firstLine="720"/>
        <w:jc w:val="both"/>
      </w:pPr>
      <w:r>
        <w:t>7</w:t>
      </w:r>
      <w:r>
        <w:t>. Atlyginimas už m</w:t>
      </w:r>
      <w:r>
        <w:rPr>
          <w:bCs/>
        </w:rPr>
        <w:t>okinius ar sportininkus</w:t>
      </w:r>
      <w:r>
        <w:t xml:space="preserve">, kuriems taikoma Savivaldybės tarybos nustatyta lengvata, mokamas iš savivaldybės biudžeto už praėjusį mėnesį. </w:t>
      </w:r>
    </w:p>
    <w:p>
      <w:pPr>
        <w:tabs>
          <w:tab w:val="left" w:pos="1014"/>
        </w:tabs>
        <w:ind w:firstLine="720"/>
        <w:jc w:val="both"/>
      </w:pPr>
      <w:r>
        <w:t>8</w:t>
      </w:r>
      <w:r>
        <w:t>. Mėnesiui pasibaigus, iki kito mėnesio 10 dienos Įstaigos vadovas Savivaldybės administracijos Strateginės plėtros ir ekonomikos departamento Apskaitos skyriui (toliau – Apskaitos skyrius) pateikia nustatytos formos paraišką atlyginimui už su</w:t>
      </w:r>
      <w:r>
        <w:rPr>
          <w:bCs/>
        </w:rPr>
        <w:t xml:space="preserve">teiktas ugdymo paslaugas </w:t>
      </w:r>
      <w:r>
        <w:t>lėšoms gauti (forma pridedama). Ketvirčio lėšų panaudojimo ataskaitos Apskaitos skyriui turi būti teikiamos ketvirčiui pasibaigus, iki kito ketvirčio pirmojo mėnesio 5 dienos, pagal patvirtintas ataskaitų formas: Biudžeto išlaidų sąmatos vykdymo ataskaitą (forma Nr. 2, patvirtinta Lietuvos Respublikos finansų ministro 2008 m. gruodžio 31 d. įsakymu Nr. 1K-465) ir Savivaldybės biudžeto lėšų panaudojimą pagrindžiančią ketvirčio ataskaitą (forma pridedama). Nepateikus ketvirčio lėšų panaudojimo ataskaitos, lėšos už praėjusį mėnesį nepervedamos.</w:t>
      </w:r>
    </w:p>
    <w:p>
      <w:pPr>
        <w:tabs>
          <w:tab w:val="left" w:pos="1014"/>
        </w:tabs>
        <w:ind w:firstLine="720"/>
        <w:jc w:val="both"/>
        <w:rPr>
          <w:b/>
        </w:rPr>
      </w:pPr>
    </w:p>
    <w:p>
      <w:pPr>
        <w:tabs>
          <w:tab w:val="left" w:pos="1014"/>
        </w:tabs>
        <w:ind w:firstLine="720"/>
        <w:jc w:val="center"/>
        <w:rPr>
          <w:b/>
        </w:rPr>
      </w:pPr>
      <w:r>
        <w:rPr>
          <w:b/>
        </w:rPr>
        <w:t>III</w:t>
      </w:r>
      <w:r>
        <w:rPr>
          <w:b/>
        </w:rPr>
        <w:t xml:space="preserve">. </w:t>
      </w:r>
      <w:r>
        <w:rPr>
          <w:b/>
        </w:rPr>
        <w:t>ATLYGINIMO LENGVATŲ TAIKYMAS</w:t>
      </w:r>
    </w:p>
    <w:p>
      <w:pPr>
        <w:tabs>
          <w:tab w:val="left" w:pos="1014"/>
        </w:tabs>
        <w:jc w:val="both"/>
      </w:pP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9</w:t>
      </w:r>
      <w:r>
        <w:rPr>
          <w:color w:val="000000"/>
          <w:szCs w:val="24"/>
          <w:lang w:eastAsia="ar-SA"/>
        </w:rPr>
        <w:t>. Atlyginimas nemokamas:</w:t>
      </w:r>
    </w:p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9.1</w:t>
      </w:r>
      <w:r>
        <w:rPr>
          <w:color w:val="000000"/>
          <w:szCs w:val="24"/>
          <w:lang w:eastAsia="ar-SA"/>
        </w:rPr>
        <w:t xml:space="preserve">. mokinių vasaros atostogų metu </w:t>
      </w:r>
      <w:r>
        <w:rPr>
          <w:bCs/>
          <w:color w:val="000000"/>
          <w:szCs w:val="24"/>
          <w:lang w:eastAsia="ar-SA"/>
        </w:rPr>
        <w:t>arba sportinio ugdymo plane numatytų atostogų metu;</w:t>
      </w:r>
    </w:p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9.2</w:t>
      </w:r>
      <w:r>
        <w:rPr>
          <w:color w:val="000000"/>
          <w:szCs w:val="24"/>
          <w:lang w:eastAsia="ar-SA"/>
        </w:rPr>
        <w:t>. jei vieną mėnesį ar daugiau ugdymo paslauga neteikiama dėl Įstaigoje susidariusių svarbių priežasčių;</w:t>
      </w:r>
    </w:p>
    <w:p>
      <w:pPr>
        <w:tabs>
          <w:tab w:val="left" w:pos="555"/>
        </w:tabs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bCs/>
          <w:color w:val="000000"/>
          <w:szCs w:val="24"/>
          <w:lang w:eastAsia="ar-SA"/>
        </w:rPr>
        <w:t>9.3</w:t>
      </w:r>
      <w:r>
        <w:rPr>
          <w:bCs/>
          <w:color w:val="000000"/>
          <w:szCs w:val="24"/>
          <w:lang w:eastAsia="ar-SA"/>
        </w:rPr>
        <w:t>. jei mokinys ar sportininkas visą einamąjį mėnesį ar nepertraukiamai 4 savaites nelankė Įstaigos dėl ligos ir pateikė gydytojo pažymą ar jos kopiją, ar tėvų prašymą;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bCs/>
          <w:color w:val="00000A"/>
          <w:szCs w:val="24"/>
          <w:lang w:eastAsia="ar-SA"/>
        </w:rPr>
        <w:t>9.4</w:t>
      </w:r>
      <w:r>
        <w:rPr>
          <w:bCs/>
          <w:color w:val="00000A"/>
          <w:szCs w:val="24"/>
          <w:lang w:eastAsia="ar-SA"/>
        </w:rPr>
        <w:t>. kai dėl Lietuvos Respublikoje paskelbto karantino ir (ar) ekstremaliosios situacijos einamąjį mėnesį daugiau nei 10 darbo dienų privalomai sustabdomas ugdymo procesas.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Papunkčio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d70c76004a9611eb8d9fe110e148c77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A-1868</w:t>
        </w:r>
      </w:fldSimple>
      <w:r>
        <w:rPr>
          <w:rFonts w:ascii="Times New Roman" w:eastAsia="MS Mincho" w:hAnsi="Times New Roman"/>
          <w:sz w:val="20"/>
          <w:i/>
          <w:iCs/>
        </w:rPr>
        <w:t>,
2020-12-30,
paskelbta TAR 2020-12-30, i. k. 2020-29119            </w:t>
      </w:r>
    </w:p>
    <w:p/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10</w:t>
      </w:r>
      <w:r>
        <w:rPr>
          <w:color w:val="000000"/>
          <w:szCs w:val="24"/>
          <w:lang w:eastAsia="ar-SA"/>
        </w:rPr>
        <w:t>. Atlyginimas</w:t>
      </w:r>
      <w:r>
        <w:rPr>
          <w:bCs/>
          <w:color w:val="000000"/>
          <w:szCs w:val="24"/>
          <w:lang w:eastAsia="ar-SA"/>
        </w:rPr>
        <w:t xml:space="preserve"> už praėjusių mokslo metų rezultatus</w:t>
      </w:r>
      <w:r>
        <w:rPr>
          <w:color w:val="000000"/>
          <w:szCs w:val="24"/>
          <w:lang w:eastAsia="ar-SA"/>
        </w:rPr>
        <w:t xml:space="preserve"> 100 procentų mažinamas gabiesiems mokiniams ir aukšto meistriškumo sportininkams: </w:t>
      </w:r>
    </w:p>
    <w:p>
      <w:pPr>
        <w:tabs>
          <w:tab w:val="left" w:pos="540"/>
        </w:tabs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10.1</w:t>
      </w:r>
      <w:r>
        <w:rPr>
          <w:color w:val="000000"/>
          <w:szCs w:val="24"/>
          <w:lang w:eastAsia="ar-SA"/>
        </w:rPr>
        <w:t>. švietimo įstaigų mokiniams: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bCs/>
          <w:color w:val="000000"/>
          <w:szCs w:val="24"/>
          <w:lang w:eastAsia="ar-SA"/>
        </w:rPr>
        <w:t>10.1.1</w:t>
      </w:r>
      <w:r>
        <w:rPr>
          <w:bCs/>
          <w:color w:val="000000"/>
          <w:szCs w:val="24"/>
          <w:lang w:eastAsia="ar-SA"/>
        </w:rPr>
        <w:t>. tarptautinių varžybų, konkursų I</w:t>
      </w:r>
      <w:r>
        <w:rPr>
          <w:szCs w:val="24"/>
          <w:lang w:eastAsia="ar-SA"/>
        </w:rPr>
        <w:t xml:space="preserve"> – </w:t>
      </w:r>
      <w:r>
        <w:rPr>
          <w:bCs/>
          <w:color w:val="000000"/>
          <w:szCs w:val="24"/>
          <w:lang w:eastAsia="ar-SA"/>
        </w:rPr>
        <w:t>VI vietų laimėtojams (</w:t>
      </w:r>
      <w:r>
        <w:rPr>
          <w:iCs/>
          <w:color w:val="000000"/>
          <w:szCs w:val="24"/>
          <w:lang w:eastAsia="ar-SA"/>
        </w:rPr>
        <w:t>prizininkams, diplomantams, laureatams);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bCs/>
          <w:color w:val="000000"/>
          <w:szCs w:val="24"/>
          <w:lang w:eastAsia="ar-SA"/>
        </w:rPr>
        <w:t>10.1.2</w:t>
      </w:r>
      <w:r>
        <w:rPr>
          <w:bCs/>
          <w:color w:val="000000"/>
          <w:szCs w:val="24"/>
          <w:lang w:eastAsia="ar-SA"/>
        </w:rPr>
        <w:t>. respublikinių varžybų, konkursų I</w:t>
      </w:r>
      <w:r>
        <w:rPr>
          <w:szCs w:val="24"/>
          <w:lang w:eastAsia="ar-SA"/>
        </w:rPr>
        <w:t xml:space="preserve"> – </w:t>
      </w:r>
      <w:r>
        <w:rPr>
          <w:bCs/>
          <w:color w:val="000000"/>
          <w:szCs w:val="24"/>
          <w:lang w:eastAsia="ar-SA"/>
        </w:rPr>
        <w:t>III vietų laimėtojams (</w:t>
      </w:r>
      <w:r>
        <w:rPr>
          <w:iCs/>
          <w:color w:val="000000"/>
          <w:szCs w:val="24"/>
          <w:lang w:eastAsia="ar-SA"/>
        </w:rPr>
        <w:t>prizininkams, diplomantams, laureatams);</w:t>
      </w:r>
    </w:p>
    <w:p>
      <w:pPr>
        <w:tabs>
          <w:tab w:val="left" w:pos="540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iCs/>
          <w:color w:val="000000"/>
          <w:szCs w:val="24"/>
          <w:lang w:eastAsia="ar-SA"/>
        </w:rPr>
        <w:t>10.1.3</w:t>
      </w:r>
      <w:r>
        <w:rPr>
          <w:iCs/>
          <w:color w:val="000000"/>
          <w:szCs w:val="24"/>
          <w:lang w:eastAsia="ar-SA"/>
        </w:rPr>
        <w:t xml:space="preserve">. puikiai besimokantiems ugdytiniams (formalųjį švietimą papildančio ugdymo įstaigose, kuriose yra vertinimo balais sistema); </w:t>
      </w:r>
    </w:p>
    <w:p>
      <w:pPr>
        <w:tabs>
          <w:tab w:val="left" w:pos="540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iCs/>
          <w:color w:val="000000"/>
          <w:szCs w:val="24"/>
          <w:lang w:eastAsia="ar-SA"/>
        </w:rPr>
        <w:t>10.1.4</w:t>
      </w:r>
      <w:r>
        <w:rPr>
          <w:iCs/>
          <w:color w:val="000000"/>
          <w:szCs w:val="24"/>
          <w:lang w:eastAsia="ar-SA"/>
        </w:rPr>
        <w:t>. inicijavusiems ir surengusiems individualios kūrybos pristatymą (renginį, parodą, koncertą, konferenciją);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iCs/>
          <w:color w:val="000000"/>
          <w:szCs w:val="24"/>
          <w:lang w:eastAsia="ar-SA"/>
        </w:rPr>
        <w:t>10.1.5</w:t>
      </w:r>
      <w:r>
        <w:rPr>
          <w:iCs/>
          <w:color w:val="000000"/>
          <w:szCs w:val="24"/>
          <w:lang w:eastAsia="ar-SA"/>
        </w:rPr>
        <w:t>. aktyviai dalyvaujantiems įstaigos ar miesto savivaldos institucijų veikloje.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lang w:eastAsia="ar-SA"/>
        </w:rPr>
      </w:pPr>
      <w:r>
        <w:rPr>
          <w:iCs/>
          <w:color w:val="000000"/>
          <w:szCs w:val="24"/>
          <w:lang w:eastAsia="ar-SA"/>
        </w:rPr>
        <w:t>10.2</w:t>
      </w:r>
      <w:r>
        <w:rPr>
          <w:iCs/>
          <w:color w:val="000000"/>
          <w:szCs w:val="24"/>
          <w:lang w:eastAsia="ar-SA"/>
        </w:rPr>
        <w:t xml:space="preserve">. sporto įstaigų </w:t>
      </w:r>
      <w:r>
        <w:rPr>
          <w:color w:val="000000"/>
          <w:szCs w:val="24"/>
          <w:lang w:eastAsia="ar-SA"/>
        </w:rPr>
        <w:t>aukšto meistriškumo</w:t>
      </w:r>
      <w:r>
        <w:rPr>
          <w:iCs/>
          <w:color w:val="000000"/>
          <w:szCs w:val="24"/>
          <w:lang w:eastAsia="ar-SA"/>
        </w:rPr>
        <w:t xml:space="preserve"> sportininkams: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shd w:val="clear" w:color="auto" w:fill="FFFFFF"/>
          <w:lang w:eastAsia="ar-SA"/>
        </w:rPr>
      </w:pPr>
      <w:r>
        <w:rPr>
          <w:iCs/>
          <w:color w:val="000000"/>
          <w:szCs w:val="24"/>
          <w:lang w:eastAsia="ar-SA"/>
        </w:rPr>
        <w:t>10.2.1</w:t>
      </w:r>
      <w:r>
        <w:rPr>
          <w:iCs/>
          <w:color w:val="000000"/>
          <w:szCs w:val="24"/>
          <w:lang w:eastAsia="ar-SA"/>
        </w:rPr>
        <w:t>.</w:t>
      </w:r>
      <w:r>
        <w:rPr>
          <w:iCs/>
          <w:color w:val="000000"/>
          <w:szCs w:val="24"/>
          <w:shd w:val="clear" w:color="auto" w:fill="FFFFFF"/>
          <w:lang w:eastAsia="ar-SA"/>
        </w:rPr>
        <w:t xml:space="preserve"> olimpinių žaidynių dalyviams;</w:t>
      </w:r>
    </w:p>
    <w:p>
      <w:pPr>
        <w:tabs>
          <w:tab w:val="left" w:pos="555"/>
        </w:tabs>
        <w:suppressAutoHyphens/>
        <w:ind w:firstLine="720"/>
        <w:jc w:val="both"/>
        <w:rPr>
          <w:iCs/>
          <w:color w:val="000000"/>
          <w:szCs w:val="24"/>
          <w:shd w:val="clear" w:color="auto" w:fill="FFFFFF"/>
          <w:lang w:eastAsia="ar-SA"/>
        </w:rPr>
      </w:pPr>
      <w:r>
        <w:rPr>
          <w:bCs/>
          <w:color w:val="000000"/>
          <w:szCs w:val="24"/>
          <w:shd w:val="clear" w:color="auto" w:fill="FFFFFF"/>
          <w:lang w:eastAsia="ar-SA"/>
        </w:rPr>
        <w:t>10.2.2</w:t>
      </w:r>
      <w:r>
        <w:rPr>
          <w:bCs/>
          <w:color w:val="000000"/>
          <w:szCs w:val="24"/>
          <w:shd w:val="clear" w:color="auto" w:fill="FFFFFF"/>
          <w:lang w:eastAsia="ar-SA"/>
        </w:rPr>
        <w:t>. pasaulio suaugusiųjų, jaunimo ir jaunių čempionate užėmusiems 1–16 vietas;</w:t>
      </w:r>
    </w:p>
    <w:p>
      <w:pPr>
        <w:tabs>
          <w:tab w:val="left" w:pos="1106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10.2.3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Universiadoje užėmusiems 1–9 vietas;</w:t>
      </w:r>
    </w:p>
    <w:p>
      <w:pPr>
        <w:tabs>
          <w:tab w:val="left" w:pos="1106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10.2.4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jaunimo olimpinėse žaidynėse užėmusiems 1–9 vietas;</w:t>
      </w:r>
    </w:p>
    <w:p>
      <w:pPr>
        <w:tabs>
          <w:tab w:val="left" w:pos="1106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10.2.5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Europos suaugusiųjų, jaunimo ir jaunių čempionate užėmusiems 1–10 vietas;</w:t>
      </w:r>
    </w:p>
    <w:p>
      <w:pPr>
        <w:tabs>
          <w:tab w:val="left" w:pos="1121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10.2.6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Europos taurės suaugusiųjų, jaunimo ir jaunių varžybose užėmusiems 1–4 vietas;</w:t>
      </w:r>
    </w:p>
    <w:p>
      <w:pPr>
        <w:tabs>
          <w:tab w:val="left" w:pos="555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10.2.7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Europos jaunimo olimpiniame festivalyje užėmusiems 1–6 vietas;</w:t>
      </w:r>
    </w:p>
    <w:p>
      <w:pPr>
        <w:tabs>
          <w:tab w:val="left" w:pos="555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10.2.8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Europos sporto žaidynėse užėmusiems 1–6 vietas;</w:t>
      </w:r>
    </w:p>
    <w:p>
      <w:pPr>
        <w:tabs>
          <w:tab w:val="left" w:pos="1090"/>
        </w:tabs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10.2.9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Baltijos šalių suaugusiųjų, jaunimo ir jaunių pirmenybėse ir taurės varžybose užėmusiems 1–3 vietas;</w:t>
      </w:r>
    </w:p>
    <w:p>
      <w:pPr>
        <w:tabs>
          <w:tab w:val="left" w:pos="1106"/>
        </w:tabs>
        <w:suppressAutoHyphens/>
        <w:ind w:firstLine="720"/>
        <w:jc w:val="both"/>
      </w:pP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10.2.10</w:t>
      </w:r>
      <w:r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  <w:t>. Lietuvos suaugusiųjų, jaunimo ir jaunių čempionate užėmusiems 1 vietas;</w:t>
      </w:r>
    </w:p>
    <w:p>
      <w:pPr>
        <w:suppressAutoHyphens/>
        <w:ind w:firstLine="720"/>
        <w:jc w:val="both"/>
        <w:rPr>
          <w:rFonts w:eastAsia="Arial"/>
          <w:color w:val="000000"/>
          <w:kern w:val="2"/>
          <w:szCs w:val="24"/>
          <w:shd w:val="clear" w:color="auto" w:fill="FFFFFF"/>
          <w:lang w:eastAsia="ar-SA"/>
        </w:rPr>
      </w:pPr>
      <w:r>
        <w:rPr>
          <w:bCs/>
          <w:color w:val="00000A"/>
          <w:szCs w:val="24"/>
          <w:lang w:eastAsia="ar-SA"/>
        </w:rPr>
        <w:t>10.2.11</w:t>
      </w:r>
      <w:r>
        <w:rPr>
          <w:bCs/>
          <w:color w:val="00000A"/>
          <w:szCs w:val="24"/>
          <w:lang w:eastAsia="ar-SA"/>
        </w:rPr>
        <w:t>. Šiaulių sporto gimnazijos mokiniams.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Papildyta papunkčiu: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19fe32502ee511eb932eb1ed7f9239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A-1648</w:t>
        </w:r>
      </w:fldSimple>
      <w:r>
        <w:rPr>
          <w:rFonts w:ascii="Times New Roman" w:eastAsia="MS Mincho" w:hAnsi="Times New Roman"/>
          <w:sz w:val="20"/>
          <w:i/>
          <w:iCs/>
        </w:rPr>
        <w:t>,
2020-11-25,
paskelbta TAR 2020-11-25, i. k. 2020-24924        </w:t>
      </w:r>
    </w:p>
    <w:p/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11</w:t>
      </w:r>
      <w:r>
        <w:rPr>
          <w:color w:val="000000"/>
          <w:szCs w:val="24"/>
          <w:lang w:eastAsia="ar-SA"/>
        </w:rPr>
        <w:t>. Laikotarpis, kai atlyginimo dydis mažinamas šio Aprašo 10 punkte nurodytiems: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11.1</w:t>
      </w:r>
      <w:r>
        <w:rPr>
          <w:color w:val="000000"/>
          <w:szCs w:val="24"/>
          <w:lang w:eastAsia="ar-SA"/>
        </w:rPr>
        <w:t>. mokiniams, negali būti ilgesnis nei vieneri mokslo metai;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11.2</w:t>
      </w:r>
      <w:r>
        <w:rPr>
          <w:color w:val="000000"/>
          <w:szCs w:val="24"/>
          <w:lang w:eastAsia="ar-SA"/>
        </w:rPr>
        <w:t>. sportininkams, negali būti ilgesnis nei vieneri metai.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12</w:t>
      </w:r>
      <w:r>
        <w:rPr>
          <w:color w:val="000000"/>
          <w:szCs w:val="24"/>
          <w:lang w:eastAsia="ar-SA"/>
        </w:rPr>
        <w:t xml:space="preserve">. Atlyginimas mažinamas 100 procentų mokiniams ir sportininkams iš šeimų, gaunančių socialinę pašalpą. 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13</w:t>
      </w:r>
      <w:r>
        <w:rPr>
          <w:color w:val="000000"/>
          <w:szCs w:val="24"/>
          <w:lang w:eastAsia="ar-SA"/>
        </w:rPr>
        <w:t>. Mokinių ir sportininkų tėvai (globėjai, rūpintojai), kuriems gali būti taikoma šio Aprašo 12 punkte minima lengvata, Įstaigos vadovui pateikia: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13.1</w:t>
      </w:r>
      <w:r>
        <w:rPr>
          <w:color w:val="000000"/>
          <w:szCs w:val="24"/>
          <w:lang w:eastAsia="ar-SA"/>
        </w:rPr>
        <w:t>. prašymą;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13.2</w:t>
      </w:r>
      <w:r>
        <w:rPr>
          <w:color w:val="000000"/>
          <w:szCs w:val="24"/>
          <w:lang w:eastAsia="ar-SA"/>
        </w:rPr>
        <w:t xml:space="preserve">. Savivaldybės administracijos Žmonių gerovės ir ugdymo departamento </w:t>
      </w:r>
      <w:r>
        <w:rPr>
          <w:bCs/>
          <w:color w:val="000000"/>
          <w:szCs w:val="24"/>
          <w:lang w:eastAsia="ar-SA"/>
        </w:rPr>
        <w:t xml:space="preserve">Socialinių išmokų ir kompensacijų </w:t>
      </w:r>
      <w:r>
        <w:rPr>
          <w:color w:val="000000"/>
          <w:szCs w:val="24"/>
          <w:lang w:eastAsia="ar-SA"/>
        </w:rPr>
        <w:t>skyriaus pažymą arba patvirtintą jos kopiją, kad šeima gauna socialinę pašalpą.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color w:val="000000"/>
          <w:szCs w:val="24"/>
          <w:lang w:eastAsia="ar-SA"/>
        </w:rPr>
        <w:t>14</w:t>
      </w:r>
      <w:r>
        <w:rPr>
          <w:color w:val="000000"/>
          <w:szCs w:val="24"/>
          <w:lang w:eastAsia="ar-SA"/>
        </w:rPr>
        <w:t>. Atlyginimas mažinamas 100 procentų mokiniams</w:t>
      </w:r>
      <w:r>
        <w:rPr>
          <w:szCs w:val="24"/>
          <w:lang w:eastAsia="ar-SA"/>
        </w:rPr>
        <w:t>, kuriems nustatytas neįgalumas.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15</w:t>
      </w:r>
      <w:r>
        <w:rPr>
          <w:color w:val="000000"/>
          <w:szCs w:val="24"/>
          <w:lang w:eastAsia="ar-SA"/>
        </w:rPr>
        <w:t>. Mokinių tėvai (globėjai, rūpintojai), kuriems gali būti taikoma šio Aprašo 14 punkte minima lengvata, Įstaigos vadovui pateikia: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15.1</w:t>
      </w:r>
      <w:r>
        <w:rPr>
          <w:color w:val="000000"/>
          <w:szCs w:val="24"/>
          <w:lang w:eastAsia="ar-SA"/>
        </w:rPr>
        <w:t>. prašymą;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15.2</w:t>
      </w:r>
      <w:r>
        <w:rPr>
          <w:color w:val="000000"/>
          <w:szCs w:val="24"/>
          <w:lang w:eastAsia="ar-SA"/>
        </w:rPr>
        <w:t>. Neįgalumo ir darbingumo nustatymo tarnybos pažymą (Neįgalumo lygio pažyma) arba patvirtintą jo kopiją dėl neįgalumo lygio ir jo termino nustatymo.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16</w:t>
      </w:r>
      <w:r>
        <w:rPr>
          <w:color w:val="000000"/>
          <w:szCs w:val="24"/>
          <w:lang w:eastAsia="ar-SA"/>
        </w:rPr>
        <w:t>. Dokumentai, kurių pagrindu taikomos atlyginimo lengvatos, pateikiami Įstaigos vadovui ar jo įgaliotam asmeniui priimant mokinį ar sportininką į Įstaigą bei patikslinami kas 3 mėnesiai arba pateikiami įgijus teisę į atlyginimo lengvatą.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17</w:t>
      </w:r>
      <w:r>
        <w:rPr>
          <w:color w:val="000000"/>
          <w:szCs w:val="24"/>
          <w:lang w:eastAsia="ar-SA"/>
        </w:rPr>
        <w:t>. Laiku nepateikus informacijos ir reikiamų dokumentų, atlyginimas skaičiuojamas bendra tvarka.</w:t>
      </w:r>
    </w:p>
    <w:p>
      <w:pPr>
        <w:suppressAutoHyphens/>
        <w:ind w:firstLine="720"/>
        <w:jc w:val="both"/>
        <w:rPr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18</w:t>
      </w:r>
      <w:r>
        <w:rPr>
          <w:color w:val="000000"/>
          <w:szCs w:val="24"/>
          <w:lang w:eastAsia="ar-SA"/>
        </w:rPr>
        <w:t xml:space="preserve">. Pateikus dokumentus pavėluotai, atlyginimas už praėjusį laiką neperskaičiuojamas, išskyrus atvejus, kai socialinė pašalpa yra paskirta už praėjusį laikotarpį. </w:t>
      </w:r>
    </w:p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color w:val="000000"/>
          <w:szCs w:val="24"/>
          <w:lang w:eastAsia="ar-SA"/>
        </w:rPr>
        <w:t>19</w:t>
      </w:r>
      <w:r>
        <w:rPr>
          <w:color w:val="000000"/>
          <w:szCs w:val="24"/>
          <w:lang w:eastAsia="ar-SA"/>
        </w:rPr>
        <w:t xml:space="preserve">. </w:t>
      </w:r>
      <w:r>
        <w:rPr>
          <w:bCs/>
          <w:color w:val="000000"/>
          <w:szCs w:val="24"/>
          <w:lang w:eastAsia="ar-SA"/>
        </w:rPr>
        <w:t xml:space="preserve">Už </w:t>
      </w:r>
      <w:r>
        <w:rPr>
          <w:color w:val="000000"/>
          <w:szCs w:val="24"/>
          <w:lang w:eastAsia="ar-SA"/>
        </w:rPr>
        <w:t xml:space="preserve">neformaliojo švietimo programas, papildančias pasirenkamąsias programas, </w:t>
      </w:r>
      <w:r>
        <w:rPr>
          <w:bCs/>
          <w:color w:val="000000"/>
          <w:szCs w:val="24"/>
          <w:lang w:eastAsia="ar-SA"/>
        </w:rPr>
        <w:t>lengvata netaikoma.</w:t>
      </w:r>
    </w:p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bCs/>
          <w:color w:val="000000"/>
          <w:szCs w:val="24"/>
          <w:lang w:eastAsia="ar-SA"/>
        </w:rPr>
        <w:t>20</w:t>
      </w:r>
      <w:r>
        <w:rPr>
          <w:bCs/>
          <w:color w:val="000000"/>
          <w:szCs w:val="24"/>
          <w:lang w:eastAsia="ar-SA"/>
        </w:rPr>
        <w:t>.</w:t>
      </w:r>
      <w:r>
        <w:rPr>
          <w:b/>
          <w:color w:val="000000"/>
          <w:szCs w:val="24"/>
          <w:lang w:eastAsia="ar-SA"/>
        </w:rPr>
        <w:t xml:space="preserve"> </w:t>
      </w:r>
      <w:r>
        <w:rPr>
          <w:bCs/>
          <w:color w:val="000000"/>
          <w:szCs w:val="24"/>
          <w:lang w:eastAsia="ar-SA"/>
        </w:rPr>
        <w:t xml:space="preserve">Švietimo įstaigos vadovas įsakymu patvirtina gabių vaikų nustatymo,  lengvatų suteikimo tvarką ir gabių vaikų, kuriems pritaikyta lengvata, sąrašą.</w:t>
      </w:r>
    </w:p>
    <w:p>
      <w:pPr>
        <w:suppressAutoHyphens/>
        <w:ind w:firstLine="720"/>
        <w:jc w:val="both"/>
        <w:rPr>
          <w:bCs/>
          <w:color w:val="000000"/>
          <w:szCs w:val="24"/>
          <w:lang w:eastAsia="ar-SA"/>
        </w:rPr>
      </w:pPr>
      <w:r>
        <w:rPr>
          <w:bCs/>
          <w:color w:val="000000"/>
          <w:szCs w:val="24"/>
          <w:lang w:eastAsia="ar-SA"/>
        </w:rPr>
        <w:t>21</w:t>
      </w:r>
      <w:r>
        <w:rPr>
          <w:bCs/>
          <w:color w:val="000000"/>
          <w:szCs w:val="24"/>
          <w:lang w:eastAsia="ar-SA"/>
        </w:rPr>
        <w:t>. Sporto įstaigos vadovas įsakymu patvirtina aukšto meistriškumo sportininkų, kuriems pritaikyta lengvata, sąrašą.</w:t>
      </w:r>
    </w:p>
    <w:p>
      <w:pPr>
        <w:suppressAutoHyphens/>
        <w:jc w:val="center"/>
        <w:rPr>
          <w:b/>
          <w:bCs/>
          <w:szCs w:val="24"/>
          <w:lang w:eastAsia="ar-SA"/>
        </w:rPr>
      </w:pPr>
    </w:p>
    <w:p>
      <w:pPr>
        <w:suppressAutoHyphens/>
        <w:jc w:val="center"/>
        <w:rPr>
          <w:b/>
          <w:bCs/>
          <w:szCs w:val="24"/>
          <w:lang w:eastAsia="ar-SA"/>
        </w:rPr>
      </w:pPr>
      <w:r>
        <w:rPr>
          <w:b/>
          <w:bCs/>
          <w:szCs w:val="24"/>
          <w:lang w:eastAsia="ar-SA"/>
        </w:rPr>
        <w:t>IV</w:t>
      </w:r>
      <w:r>
        <w:rPr>
          <w:b/>
          <w:bCs/>
          <w:szCs w:val="24"/>
          <w:lang w:eastAsia="ar-SA"/>
        </w:rPr>
        <w:t xml:space="preserve">. </w:t>
      </w:r>
      <w:r>
        <w:rPr>
          <w:b/>
          <w:bCs/>
          <w:szCs w:val="24"/>
          <w:lang w:eastAsia="ar-SA"/>
        </w:rPr>
        <w:t>ATLYGINIMO UŽSKAITYMAS ARBA GRĄŽINIMAS</w:t>
      </w:r>
    </w:p>
    <w:p>
      <w:pPr>
        <w:suppressAutoHyphens/>
        <w:jc w:val="center"/>
        <w:rPr>
          <w:szCs w:val="24"/>
          <w:lang w:eastAsia="ar-SA"/>
        </w:rPr>
      </w:pP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22</w:t>
      </w:r>
      <w:r>
        <w:rPr>
          <w:szCs w:val="24"/>
          <w:lang w:eastAsia="ar-SA"/>
        </w:rPr>
        <w:t>. Jei atlyginimas buvo sumokėtas iš anksto už pusmetį arba už ketvirtį, o užsiėmimai Įstaigoje nevyko ne mažiau kaip 1 mėnesį dėl Įstaigoje susidariusių svarbių priežasčių</w:t>
      </w:r>
      <w:r>
        <w:rPr>
          <w:bCs/>
          <w:szCs w:val="24"/>
          <w:lang w:eastAsia="ar-SA"/>
        </w:rPr>
        <w:t xml:space="preserve"> arba </w:t>
      </w:r>
      <w:r>
        <w:rPr>
          <w:szCs w:val="24"/>
          <w:lang w:eastAsia="ar-SA"/>
        </w:rPr>
        <w:t xml:space="preserve">mokinys ar sportininkas </w:t>
      </w:r>
      <w:r>
        <w:rPr>
          <w:bCs/>
          <w:szCs w:val="24"/>
          <w:lang w:eastAsia="ar-SA"/>
        </w:rPr>
        <w:t>nelankė Įstaigos dėl ligos vieną mėnesį,</w:t>
      </w:r>
      <w:r>
        <w:rPr>
          <w:bCs/>
          <w:color w:val="0000FF"/>
          <w:szCs w:val="24"/>
          <w:lang w:eastAsia="ar-SA"/>
        </w:rPr>
        <w:t xml:space="preserve"> </w:t>
      </w:r>
      <w:r>
        <w:rPr>
          <w:szCs w:val="24"/>
          <w:lang w:eastAsia="ar-SA"/>
        </w:rPr>
        <w:t>tėvams pateikus prašymą, atlyginimas įskaitomas už kitą mėnesį.</w:t>
      </w:r>
    </w:p>
    <w:p>
      <w:pPr>
        <w:tabs>
          <w:tab w:val="left" w:pos="570"/>
        </w:tabs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23</w:t>
      </w:r>
      <w:r>
        <w:rPr>
          <w:szCs w:val="24"/>
          <w:lang w:eastAsia="ar-SA"/>
        </w:rPr>
        <w:t xml:space="preserve">. Atlyginimas grąžinamas: 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23.1</w:t>
      </w:r>
      <w:r>
        <w:rPr>
          <w:szCs w:val="24"/>
          <w:lang w:eastAsia="ar-SA"/>
        </w:rPr>
        <w:t xml:space="preserve">. jei mokinys ar sportininkas ne vėliau kaip iki einamojo mėnesio 5 dienos išbraukiamas iš Įstaigos sąrašų; 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23.2</w:t>
      </w:r>
      <w:r>
        <w:rPr>
          <w:szCs w:val="24"/>
          <w:lang w:eastAsia="ar-SA"/>
        </w:rPr>
        <w:t xml:space="preserve">. paskelbus </w:t>
      </w:r>
      <w:r>
        <w:rPr>
          <w:bCs/>
          <w:color w:val="000000"/>
          <w:szCs w:val="24"/>
          <w:lang w:eastAsia="ar-SA"/>
        </w:rPr>
        <w:t>karantiną ir (ar) ekstremalią situaciją Lietuvos Respublikoje ir privalomai sustabdžius ugdymo procesą švietimo ir sporto įstaigose;</w:t>
      </w:r>
      <w:r>
        <w:rPr>
          <w:szCs w:val="24"/>
          <w:lang w:eastAsia="ar-SA"/>
        </w:rPr>
        <w:t xml:space="preserve"> </w:t>
      </w:r>
    </w:p>
    <w:p>
      <w:pPr>
        <w:tabs>
          <w:tab w:val="left" w:pos="570"/>
        </w:tabs>
        <w:suppressAutoHyphens/>
        <w:ind w:firstLine="720"/>
        <w:jc w:val="both"/>
        <w:rPr>
          <w:bCs/>
          <w:szCs w:val="24"/>
          <w:lang w:eastAsia="ar-SA"/>
        </w:rPr>
      </w:pPr>
      <w:r>
        <w:rPr>
          <w:szCs w:val="24"/>
          <w:lang w:eastAsia="ar-SA"/>
        </w:rPr>
        <w:t>23.3</w:t>
      </w:r>
      <w:r>
        <w:rPr>
          <w:szCs w:val="24"/>
          <w:lang w:eastAsia="ar-SA"/>
        </w:rPr>
        <w:t xml:space="preserve">. jei </w:t>
      </w:r>
      <w:r>
        <w:rPr>
          <w:bCs/>
          <w:szCs w:val="24"/>
          <w:lang w:eastAsia="ar-SA"/>
        </w:rPr>
        <w:t xml:space="preserve">mėnesį ar kelis mėnesius dėl pateisinamų priežasčių nevyko užsiėmimai ir įskaityti </w:t>
      </w:r>
      <w:r>
        <w:rPr>
          <w:szCs w:val="24"/>
          <w:lang w:eastAsia="ar-SA"/>
        </w:rPr>
        <w:t xml:space="preserve">atlyginimą </w:t>
      </w:r>
      <w:r>
        <w:rPr>
          <w:bCs/>
          <w:szCs w:val="24"/>
          <w:lang w:eastAsia="ar-SA"/>
        </w:rPr>
        <w:t>už kitą mėnesį (-ius) nėra galimybės.</w:t>
      </w:r>
    </w:p>
    <w:p>
      <w:pPr>
        <w:suppressAutoHyphens/>
        <w:ind w:firstLine="72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24</w:t>
      </w:r>
      <w:r>
        <w:rPr>
          <w:szCs w:val="24"/>
          <w:lang w:eastAsia="ar-SA"/>
        </w:rPr>
        <w:t>. Prašymas dėl atlyginimo grąžinimo arba įskaitymo už kitą mėnesį (-ius) privalo būti pateiktas ne vėliau kaip iki einamojo mėnesio paskutinės dienos.</w:t>
      </w:r>
    </w:p>
    <w:p>
      <w:pPr>
        <w:rPr>
          <w:b/>
        </w:rPr>
      </w:pPr>
    </w:p>
    <w:p>
      <w:pPr>
        <w:rPr>
          <w:b/>
        </w:rPr>
      </w:pPr>
    </w:p>
    <w:p>
      <w:pPr>
        <w:jc w:val="center"/>
        <w:rPr>
          <w:b/>
        </w:rPr>
      </w:pPr>
      <w:r>
        <w:rPr>
          <w:b/>
        </w:rPr>
        <w:t>V</w:t>
      </w:r>
      <w:r>
        <w:rPr>
          <w:b/>
        </w:rPr>
        <w:t xml:space="preserve">. </w:t>
      </w:r>
      <w:r>
        <w:rPr>
          <w:b/>
        </w:rPr>
        <w:t>BAIGIAMOSIOS NUOSTATOS</w:t>
      </w:r>
    </w:p>
    <w:p>
      <w:pPr>
        <w:jc w:val="center"/>
      </w:pP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25</w:t>
      </w:r>
      <w:r>
        <w:rPr>
          <w:bCs/>
          <w:szCs w:val="24"/>
          <w:lang w:eastAsia="ar-SA"/>
        </w:rPr>
        <w:t>. Tėvai (globėjai, rūpintojai) atsako už pateikiamų dokumentų teisingumą.</w:t>
      </w: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26</w:t>
      </w:r>
      <w:r>
        <w:rPr>
          <w:bCs/>
          <w:szCs w:val="24"/>
          <w:lang w:eastAsia="ar-SA"/>
        </w:rPr>
        <w:t xml:space="preserve">. </w:t>
      </w:r>
      <w:r>
        <w:rPr>
          <w:szCs w:val="24"/>
          <w:lang w:eastAsia="ar-SA"/>
        </w:rPr>
        <w:t xml:space="preserve">Atlyginimo </w:t>
      </w:r>
      <w:r>
        <w:rPr>
          <w:bCs/>
          <w:szCs w:val="24"/>
          <w:lang w:eastAsia="ar-SA"/>
        </w:rPr>
        <w:t>skolos iš tėvų (globėjų) išieškomos Lietuvos Respublikos teisės aktų nustatyta tvarka.</w:t>
      </w:r>
    </w:p>
    <w:p>
      <w:pPr>
        <w:suppressAutoHyphens/>
        <w:ind w:firstLine="720"/>
        <w:jc w:val="both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27</w:t>
      </w:r>
      <w:r>
        <w:rPr>
          <w:bCs/>
          <w:szCs w:val="24"/>
          <w:lang w:eastAsia="ar-SA"/>
        </w:rPr>
        <w:t>. Aprašas skelbiamas Savivaldybės ir Įstaigų interneto svetainėse.</w:t>
      </w:r>
    </w:p>
    <w:p>
      <w:pPr>
        <w:suppressAutoHyphens/>
        <w:jc w:val="center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>______________________________</w:t>
      </w:r>
    </w:p>
    <w:p>
      <w:pPr>
        <w:suppressAutoHyphens/>
        <w:jc w:val="center"/>
        <w:rPr>
          <w:b/>
          <w:bCs/>
          <w:szCs w:val="24"/>
          <w:lang w:eastAsia="ar-SA"/>
        </w:rPr>
      </w:pPr>
    </w:p>
    <w:p>
      <w:pPr>
        <w:suppressAutoHyphens/>
        <w:rPr>
          <w:szCs w:val="24"/>
          <w:lang w:eastAsia="ar-SA"/>
        </w:rPr>
      </w:pPr>
    </w:p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0"/>
          <w:b/>
        </w:rPr>
        <w:t>Pakeitimai: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1.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Šiaulių miesto savivaldybės administracija, Įsakymas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19fe32502ee511eb932eb1ed7f92391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A-1648</w:t>
        </w:r>
      </w:fldSimple>
      <w:r>
        <w:rPr>
          <w:rFonts w:ascii="Times New Roman" w:eastAsia="MS Mincho" w:hAnsi="Times New Roman"/>
          <w:sz w:val="20"/>
          <w:iCs/>
        </w:rPr>
        <w:t>,
2020-11-25,
paskelbta TAR 2020-11-25, i. k. 2020-24924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Šiaulių miesto savivaldybės administracijos direktoriaus 2020 m. balandžio 17 d. įsakymo Nr. A-503 „Dėl Atlyginimo už Šiaulių miesto savivaldybės švietimo ir sporto įstaigose teikiamas ugdymo paslaugas mokėjimo tvarkos aprašo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2.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Šiaulių miesto savivaldybės administracija, Įsakymas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d70c76004a9611eb8d9fe110e148c77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A-1868</w:t>
        </w:r>
      </w:fldSimple>
      <w:r>
        <w:rPr>
          <w:rFonts w:ascii="Times New Roman" w:eastAsia="MS Mincho" w:hAnsi="Times New Roman"/>
          <w:sz w:val="20"/>
          <w:iCs/>
        </w:rPr>
        <w:t>,
2020-12-30,
paskelbta TAR 2020-12-30, i. k. 2020-29119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Šiaulių miesto savivaldybės administracijos direktoriaus 2020 m. balandžio 17 d. įsakymo Nr. A-503 „Dėl Atlyginimo už Šiaulių miesto savivaldybės švietimo ir sporto įstaigose teikiamas ugdymo paslaugas mokėjimo tvarkos aprašo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widowControl w:val="0"/>
        <w:rPr>
          <w:rFonts w:ascii="Times New Roman" w:hAnsi="Times New Roman"/>
          <w:snapToGrid w:val="0"/>
        </w:rPr>
      </w:pPr>
    </w:p>
    <w:sectPr>
      <w:pgSz w:w="11906" w:h="16838"/>
      <w:pgMar w:top="1134" w:right="567" w:bottom="1134" w:left="1701" w:header="709" w:footer="720" w:gutter="0"/>
      <w:pgNumType w:start="1"/>
      <w:cols w:space="1296"/>
      <w:titlePg/>
      <w:docGrid w:linePitch="360"/>
    </w:sectPr>
  </w:body>
</w:document>
</file>

<file path=word/endnotes.xml><?xml version="1.0" encoding="utf-8"?>
<w:endnote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endnote w:type="separator" w:id="-1">
    <w:p>
      <w:pPr>
        <w:suppressAutoHyphens/>
        <w:rPr>
          <w:szCs w:val="24"/>
          <w:lang w:val="en-GB" w:eastAsia="ar-SA"/>
        </w:rPr>
      </w:pPr>
      <w:r>
        <w:rPr>
          <w:szCs w:val="24"/>
          <w:lang w:val="en-GB" w:eastAsia="ar-SA"/>
        </w:rPr>
        <w:separator/>
      </w:r>
    </w:p>
  </w:endnote>
  <w:endnote w:type="continuationSeparator" w:id="0">
    <w:p>
      <w:pPr>
        <w:suppressAutoHyphens/>
        <w:rPr>
          <w:szCs w:val="24"/>
          <w:lang w:val="en-GB" w:eastAsia="ar-SA"/>
        </w:rPr>
      </w:pPr>
      <w:r>
        <w:rPr>
          <w:szCs w:val="24"/>
          <w:lang w:val="en-GB" w:eastAsia="ar-SA"/>
        </w:rPr>
        <w:continuationSeparator/>
      </w:r>
    </w:p>
  </w:endnote>
</w:endnotes>
</file>

<file path=word/fontTable.xml><?xml version="1.0" encoding="utf-8"?>
<w:font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er2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er3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er4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er5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er6.xml><?xml version="1.0" encoding="utf-8"?>
<w:ft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Porat"/>
    </w:pPr>
  </w:p>
</w:ftr>
</file>

<file path=word/footnotes.xml><?xml version="1.0" encoding="utf-8"?>
<w:footnote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footnote w:type="separator" w:id="-1">
    <w:p>
      <w:pPr>
        <w:suppressAutoHyphens/>
        <w:rPr>
          <w:szCs w:val="24"/>
          <w:lang w:val="en-GB" w:eastAsia="ar-SA"/>
        </w:rPr>
      </w:pPr>
      <w:r>
        <w:rPr>
          <w:szCs w:val="24"/>
          <w:lang w:val="en-GB" w:eastAsia="ar-SA"/>
        </w:rPr>
        <w:separator/>
      </w:r>
    </w:p>
  </w:footnote>
  <w:footnote w:type="continuationSeparator" w:id="0">
    <w:p>
      <w:pPr>
        <w:suppressAutoHyphens/>
        <w:rPr>
          <w:szCs w:val="24"/>
          <w:lang w:val="en-GB" w:eastAsia="ar-SA"/>
        </w:rPr>
      </w:pPr>
      <w:r>
        <w:rPr>
          <w:szCs w:val="24"/>
          <w:lang w:val="en-GB" w:eastAsia="ar-SA"/>
        </w:rPr>
        <w:continuationSeparator/>
      </w:r>
    </w:p>
  </w:footnote>
</w:footnotes>
</file>

<file path=word/header1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</w:pPr>
  </w:p>
</w:hdr>
</file>

<file path=word/header2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3</w:t>
    </w:r>
    <w:r>
      <w:fldChar w:fldCharType="end"/>
    </w:r>
  </w:p>
  <w:p>
    <w:pPr>
      <w:tabs>
        <w:tab w:val="right" w:pos="4759"/>
      </w:tabs>
      <w:suppressAutoHyphens/>
      <w:rPr>
        <w:szCs w:val="24"/>
        <w:lang w:val="en-GB" w:eastAsia="ar-SA"/>
      </w:rPr>
    </w:pPr>
  </w:p>
</w:hdr>
</file>

<file path=word/header3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</w:pPr>
  </w:p>
</w:hdr>
</file>

<file path=word/header4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</w:pPr>
  </w:p>
</w:hdr>
</file>

<file path=word/header5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>
    <w:pPr>
      <w:tabs>
        <w:tab w:val="right" w:pos="4759"/>
      </w:tabs>
      <w:suppressAutoHyphens/>
      <w:rPr>
        <w:szCs w:val="24"/>
        <w:lang w:val="en-GB" w:eastAsia="ar-SA"/>
      </w:rPr>
    </w:pPr>
  </w:p>
</w:hdr>
</file>

<file path=word/header6.xml><?xml version="1.0" encoding="utf-8"?>
<w:hdr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p>
    <w:pPr>
      <w:pStyle w:val="Antrats"/>
    </w:pPr>
  </w:p>
</w:hdr>
</file>

<file path=word/settings.xml><?xml version="1.0" encoding="utf-8"?>
<w:setting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">
  <w:zoom w:val="bestFit" w:percent="9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</w:styles>
</file>

<file path=word/stylesWithEffects.xml><?xml version="1.0" encoding="utf-8"?>
<w:style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</w:styles>
</file>

<file path=word/webSettings.xml><?xml version="1.0" encoding="utf-8"?>
<w:webSettings xmlns:w="http://schemas.openxmlformats.org/wordprocessingml/2006/main" xmlns:w10="urn:schemas-microsoft-com:office:word" xmlns:w14="http://schemas.microsoft.com/office/word/2010/wordml" xmlns:wpc="http://schemas.microsoft.com/office/word/2010/wordprocessingCanvas" xmlns:w15="http://schemas.microsoft.com/office/word/2012/wordml" xmlns:mc="http://schemas.openxmlformats.org/markup-compatibility/2006" xmlns:w16se="http://schemas.microsoft.com/office/word/2015/wordml/symex" xmlns:o="urn:schemas-microsoft-com:office:office" xmlns:xsi="http://www.w3.org/2001/XMLSchema-instance" xmlns:cx="http://schemas.microsoft.com/office/drawing/2014/chartex" xmlns:r="http://schemas.openxmlformats.org/officeDocument/2006/relationships" xmlns:cx1="http://schemas.microsoft.com/office/drawing/2015/9/8/chartex" xmlns:m="http://schemas.openxmlformats.org/officeDocument/2006/math" xmlns:wpg="http://schemas.microsoft.com/office/word/2010/wordprocessingGroup" xmlns:v="urn:schemas-microsoft-com:vml" xmlns:wpi="http://schemas.microsoft.com/office/word/2010/wordprocessingInk" xmlns:wp14="http://schemas.microsoft.com/office/word/2010/wordprocessingDrawing" xmlns:wne="http://schemas.microsoft.com/office/word/2006/wordml" xmlns:wp="http://schemas.openxmlformats.org/drawingml/2006/wordprocessingDrawing" xmlns:wps="http://schemas.microsoft.com/office/word/2010/wordprocessingShape" mc:Ignorable="w14">
  <w:divs>
    <w:div w:id="161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3.xml"/>
  <Relationship Id="rId10" Type="http://schemas.openxmlformats.org/officeDocument/2006/relationships/image" Target="media/image1.jpeg"/>
  <Relationship Id="rId11" Type="http://schemas.openxmlformats.org/officeDocument/2006/relationships/header" Target="header4.xml"/>
  <Relationship Id="rId12" Type="http://schemas.openxmlformats.org/officeDocument/2006/relationships/header" Target="header5.xml"/>
  <Relationship Id="rId13" Type="http://schemas.openxmlformats.org/officeDocument/2006/relationships/footer" Target="footer4.xml"/>
  <Relationship Id="rId14" Type="http://schemas.openxmlformats.org/officeDocument/2006/relationships/footer" Target="footer5.xml"/>
  <Relationship Id="rId15" Type="http://schemas.openxmlformats.org/officeDocument/2006/relationships/header" Target="header6.xml"/>
  <Relationship Id="rId16" Type="http://schemas.openxmlformats.org/officeDocument/2006/relationships/footer" Target="footer6.xml"/>
  <Relationship Id="rId2" Type="http://schemas.openxmlformats.org/officeDocument/2006/relationships/endnotes" Target="endnotes.xml"/>
  <Relationship Id="rId3" Type="http://schemas.openxmlformats.org/officeDocument/2006/relationships/fontTable" Target="fontTable.xml"/>
  <Relationship Id="rId4" Type="http://schemas.openxmlformats.org/officeDocument/2006/relationships/footnotes" Target="footnotes.xml"/>
  <Relationship Id="rId5" Type="http://schemas.openxmlformats.org/officeDocument/2006/relationships/settings" Target="settings.xml"/>
  <Relationship Id="rId6" Type="http://schemas.openxmlformats.org/officeDocument/2006/relationships/styles" Target="styles.xml"/>
  <Relationship Id="rId7" Type="http://schemas.microsoft.com/office/2007/relationships/stylesWithEffects" Target="stylesWithEffects.xml"/>
  <Relationship Id="rId8" Type="http://schemas.openxmlformats.org/officeDocument/2006/relationships/theme" Target="theme/theme1.xml"/>
  <Relationship Id="rId9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Props3.xml><?xml version="1.0" encoding="utf-8"?>
<ds:datastoreItem xmlns:ds="http://schemas.openxmlformats.org/officeDocument/2006/customXml" ds:itemID="{9B6A8D83-F61E-4942-BBA7-50168FF6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Template>Normal.dotm</Template>
  <TotalTime>2</TotalTime>
  <Pages>4</Pages>
  <Words>6327</Words>
  <Characters>3607</Characters>
  <Application>Microsoft Office Word</Application>
  <DocSecurity>0</DocSecurity>
  <Lines>30</Lines>
  <Paragraphs>19</Paragraphs>
  <ScaleCrop>false</ScaleCrop>
  <HeadingPairs>
    <vt:vector xmlns:vt="http://schemas.openxmlformats.org/officeDocument/2006/docPropsVTypes" size="2" baseType="variant">
      <vt:variant>
        <vt:lpstr>Pavadinimas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/>
  <LinksUpToDate>false</LinksUpToDate>
  <CharactersWithSpaces>9915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2020-04-20T07:01:00Z</dcterms:created>
  <dc:creator>Svietimo ir Mokslo</dc:creator>
  <lastModifiedBy>ŠAULYTĖ SKAIRIENĖ Dalia</lastModifiedBy>
  <lastPrinted>2014-09-24T11:57:00Z</lastPrinted>
  <dcterms:modified xsi:type="dcterms:W3CDTF">2021-01-04T14:25:00Z</dcterms:modified>
  <revision>7</revision>
</coreProperties>
</file>